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790700" cy="819150"/>
            <wp:effectExtent t="0" r="0" b="0" l="0"/>
            <wp:docPr id="1" name="logo" descr="Blue Tulip Co logo" title="Blue Tulip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80"/>
      </w:pPr>
      <w:r>
        <w:rPr>
          <w:rFonts w:ascii="Georgia" w:cs="Georgia" w:eastAsia="Georgia" w:hAnsi="Georgia"/>
          <w:color w:val="2C3E5A"/>
          <w:sz w:val="40"/>
          <w:szCs w:val="40"/>
        </w:rPr>
        <w:t xml:space="preserve">Planning ahead</w:t>
      </w:r>
    </w:p>
    <w:p>
      <w:pPr>
        <w:pBdr>
          <w:bottom w:val="single" w:color="E5DFD6" w:sz="6" w:space="6"/>
        </w:pBdr>
        <w:spacing w:after="120"/>
      </w:pPr>
      <w:r>
        <w:rPr>
          <w:rFonts w:ascii="Calibri" w:cs="Calibri" w:eastAsia="Calibri" w:hAnsi="Calibri"/>
          <w:i/>
          <w:iCs/>
          <w:color w:val="7B5E7B"/>
          <w:sz w:val="21"/>
          <w:szCs w:val="21"/>
        </w:rPr>
        <w:t xml:space="preserve">Getting your affairs in order.</w:t>
      </w:r>
    </w:p>
    <w:p>
      <w:pPr>
        <w:spacing w:after="60"/>
      </w:pPr>
      <w:r>
        <w:rPr>
          <w:rFonts w:ascii="Calibri" w:cs="Calibri" w:eastAsia="Calibri" w:hAnsi="Calibri"/>
          <w:color w:val="6B6256"/>
          <w:sz w:val="20"/>
          <w:szCs w:val="20"/>
        </w:rPr>
        <w:t xml:space="preserve">A little done now spares the people you love a great deal later. Start at the top — you can build the rest over time.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START HERE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Make a will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This month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DIY, online, or solicitor. Just do it.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Set up Enduring Power of Attorney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This month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Financial and medical decision-makers.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Write an Advance Care Directive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This month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Talk to your GP first.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QUICK WINS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Register as an organ donor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Today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Takes 1 minute at donatelife.gov.au.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BUILD OVER TIME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Record your wishes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Ongoing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Funeral, messages, money, care — work through it section by section, at your own pace.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Nominate trusted people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After wishes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Who gets access to your information.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Tell family where your documents are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After setup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Will, EPOA, Advance Care Directive.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ANNUAL REVIEW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Review super nominations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This year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Check binding nominations have not lapsed.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Set up a digital legacy plan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This year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Password manager, digital executor, account wishes.</w:t>
      </w:r>
    </w:p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6E" w:sz="6" w:space="6"/>
      </w:pBdr>
      <w:spacing w:after="10" w:before="40"/>
    </w:pPr>
    <w:r>
      <w:rPr>
        <w:rFonts w:ascii="Calibri" w:cs="Calibri" w:eastAsia="Calibri" w:hAnsi="Calibri"/>
        <w:color w:val="8A8076"/>
        <w:sz w:val="14"/>
        <w:szCs w:val="14"/>
      </w:rPr>
      <w:t xml:space="preserve">General information only — not medical, legal or financial advice. Always confirm with the relevant professional or government service.</w:t>
    </w:r>
  </w:p>
  <w:p>
    <w:pPr>
      <w:tabs>
        <w:tab w:val="right" w:pos="9864"/>
      </w:tabs>
    </w:pPr>
    <w:r>
      <w:rPr>
        <w:rFonts w:ascii="Calibri" w:cs="Calibri" w:eastAsia="Calibri" w:hAnsi="Calibri"/>
        <w:color w:val="2C3E5A"/>
        <w:sz w:val="15"/>
        <w:szCs w:val="15"/>
      </w:rPr>
      <w:t xml:space="preserve">In an emergency call 000  ·  Lifeline 13 11 14  ·  bluetulipco.com</w:t>
    </w:r>
    <w:r>
      <w:rPr>
        <w:rFonts w:ascii="Calibri" w:cs="Calibri" w:eastAsia="Calibri" w:hAnsi="Calibri"/>
        <w:color w:val="8A8076"/>
        <w:sz w:val="15"/>
        <w:szCs w:val="15"/>
      </w:rPr>
      <w:t xml:space="preserve">	Page </w:t>
    </w:r>
    <w:r>
      <w:rPr>
        <w:rFonts w:ascii="Calibri" w:cs="Calibri" w:eastAsia="Calibri" w:hAnsi="Calibri"/>
        <w:color w:val="8A80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a48b1558e68a53229b9bbc0ecb23c189af7e3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ahead</dc:title>
  <dc:creator>Blue Tulip Co</dc:creator>
  <cp:lastModifiedBy>Un-named</cp:lastModifiedBy>
  <cp:revision>1</cp:revision>
  <dcterms:created xsi:type="dcterms:W3CDTF">2026-05-26T07:49:10.576Z</dcterms:created>
  <dcterms:modified xsi:type="dcterms:W3CDTF">2026-05-26T07:49:10.576Z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