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790700" cy="819150"/>
            <wp:effectExtent t="0" r="0" b="0" l="0"/>
            <wp:docPr id="1" name="logo" descr="logo" title="Blue Tulip 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 w:before="80"/>
      </w:pPr>
      <w:r>
        <w:rPr>
          <w:rFonts w:ascii="Georgia" w:cs="Georgia" w:eastAsia="Georgia" w:hAnsi="Georgia"/>
          <w:color w:val="2C3E5A"/>
          <w:sz w:val="40"/>
          <w:szCs w:val="40"/>
        </w:rPr>
        <w:t xml:space="preserve">The executor’s checklist</w:t>
      </w:r>
    </w:p>
    <w:p>
      <w:pPr>
        <w:pBdr>
          <w:bottom w:val="single" w:color="E5DFD6" w:sz="6" w:space="6"/>
        </w:pBdr>
        <w:spacing w:after="120"/>
      </w:pPr>
      <w:r>
        <w:rPr>
          <w:rFonts w:ascii="Calibri" w:cs="Calibri" w:eastAsia="Calibri" w:hAnsi="Calibri"/>
          <w:i/>
          <w:iCs/>
          <w:color w:val="7B5E7B"/>
          <w:sz w:val="21"/>
          <w:szCs w:val="21"/>
        </w:rPr>
        <w:t xml:space="preserve">Administering an estate, step by step.</w:t>
      </w:r>
    </w:p>
    <w:p>
      <w:pPr>
        <w:spacing w:after="60"/>
      </w:pPr>
      <w:r>
        <w:rPr>
          <w:rFonts w:ascii="Calibri" w:cs="Calibri" w:eastAsia="Calibri" w:hAnsi="Calibri"/>
          <w:color w:val="6B6256"/>
          <w:sz w:val="20"/>
          <w:szCs w:val="20"/>
        </w:rPr>
        <w:t xml:space="preserve">Being an executor is real work — often months of it. Here is the journey, roughly in order. A solicitor can take much of it off your plate. A straightforward estate takes 3–6 months; a complex one, one to two years. That is normal.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START HERE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Check with a solicitor first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If the deceased had one, call them — they may already hold the will and can manage much of this. Fees are usually paid from the estate.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Find and secure the will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Check the solicitor, Public Trustee, a home safe, or a bank deposit box. Once found, don’t alter it. Make copies.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Work out whether probate is needed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Probate is the court confirming the will and your authority. Small estates with no property often don’t need it — ask the bank first.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GET THE FULL PICTURE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List every asset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Bank accounts, super, shares, property, vehicles, valuables. A spreadsheet helps.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List every debt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Mortgage, credit cards, loans. HECS/HELP debts are cancelled on death — one less thing.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Apply for probate (if required)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Through the Supreme Court in your state.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SETTLE THE ESTATE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Pay legitimate debts from the estate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Before anything is distributed to beneficiaries. Keep receipts for everything.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Lodge the final tax return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Covering 1 July to the date of death. An accountant helps.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Advertise for creditors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 formal notice asking anyone owed money to come forward — it protects you from unknown debts later.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BEFORE YOU DISTRIBUTE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Wait at least 6 months after probate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Important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This allows time for any family provision (will contest) claims. Distribute early and a later claim is upheld, and you can be personally liable for the shortfall.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Distribute according to the will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Only once debts and tax are settled and the waiting period has passed.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Get a signed receipt from each beneficiary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Proof they received their share.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Keep all records for 7 years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Covers ATO requirements and any later claims.</w:t>
      </w:r>
    </w:p>
    <w:sectPr>
      <w:footerReference w:type="default" r:id="rId7"/>
      <w:pgSz w:w="11906" w:h="16838" w:orient="portrait"/>
      <w:pgMar w:top="1021" w:right="1021" w:bottom="1021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96E" w:sz="6" w:space="6"/>
      </w:pBdr>
      <w:spacing w:after="10" w:before="40"/>
    </w:pPr>
    <w:r>
      <w:rPr>
        <w:rFonts w:ascii="Calibri" w:cs="Calibri" w:eastAsia="Calibri" w:hAnsi="Calibri"/>
        <w:color w:val="8A8076"/>
        <w:sz w:val="14"/>
        <w:szCs w:val="14"/>
      </w:rPr>
      <w:t xml:space="preserve">General information only — not medical, legal or financial advice. Always confirm with the relevant professional or government service.</w:t>
    </w:r>
  </w:p>
  <w:p>
    <w:pPr>
      <w:tabs>
        <w:tab w:val="right" w:pos="9864"/>
      </w:tabs>
    </w:pPr>
    <w:r>
      <w:rPr>
        <w:rFonts w:ascii="Calibri" w:cs="Calibri" w:eastAsia="Calibri" w:hAnsi="Calibri"/>
        <w:color w:val="2C3E5A"/>
        <w:sz w:val="15"/>
        <w:szCs w:val="15"/>
      </w:rPr>
      <w:t xml:space="preserve">In an emergency call 000  ·  Lifeline 13 11 14  ·  bluetulipco.com</w:t>
    </w:r>
    <w:r>
      <w:rPr>
        <w:rFonts w:ascii="Calibri" w:cs="Calibri" w:eastAsia="Calibri" w:hAnsi="Calibri"/>
        <w:color w:val="8A8076"/>
        <w:sz w:val="15"/>
        <w:szCs w:val="15"/>
      </w:rPr>
      <w:t xml:space="preserve">	Page </w:t>
    </w:r>
    <w:r>
      <w:rPr>
        <w:rFonts w:ascii="Calibri" w:cs="Calibri" w:eastAsia="Calibri" w:hAnsi="Calibri"/>
        <w:color w:val="8A807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fa48b1558e68a53229b9bbc0ecb23c189af7e3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executor’s checklist</dc:title>
  <dc:creator>Blue Tulip Co</dc:creator>
  <cp:lastModifiedBy>Un-named</cp:lastModifiedBy>
  <cp:revision>1</cp:revision>
  <dcterms:created xsi:type="dcterms:W3CDTF">2026-05-26T08:11:40.937Z</dcterms:created>
  <dcterms:modified xsi:type="dcterms:W3CDTF">2026-05-26T08:11:40.937Z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